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12" w:rsidRDefault="00B43012" w:rsidP="00142A7B">
      <w:pPr>
        <w:spacing w:line="360" w:lineRule="auto"/>
        <w:jc w:val="both"/>
        <w:rPr>
          <w:rFonts w:ascii="Arial" w:hAnsi="Arial" w:cs="Arial"/>
          <w:sz w:val="22"/>
          <w:szCs w:val="22"/>
          <w:lang w:val="es-AR"/>
        </w:rPr>
      </w:pPr>
      <w:r>
        <w:rPr>
          <w:rFonts w:ascii="Arial" w:hAnsi="Arial" w:cs="Arial"/>
          <w:sz w:val="22"/>
          <w:szCs w:val="22"/>
          <w:lang w:val="es-AR"/>
        </w:rPr>
        <w:t>Escuela Normal Superior N° 15 “Domingo F. Sarmiento”</w:t>
      </w:r>
    </w:p>
    <w:p w:rsidR="00B43012" w:rsidRDefault="00B43012" w:rsidP="00142A7B">
      <w:pPr>
        <w:spacing w:line="360" w:lineRule="auto"/>
        <w:jc w:val="both"/>
        <w:rPr>
          <w:rFonts w:ascii="Arial" w:hAnsi="Arial" w:cs="Arial"/>
          <w:sz w:val="22"/>
          <w:szCs w:val="22"/>
          <w:lang w:val="es-AR"/>
        </w:rPr>
      </w:pPr>
    </w:p>
    <w:p w:rsidR="00B43012" w:rsidRDefault="00B43012" w:rsidP="00142A7B">
      <w:pPr>
        <w:spacing w:line="360" w:lineRule="auto"/>
        <w:jc w:val="both"/>
        <w:rPr>
          <w:rFonts w:ascii="Arial" w:hAnsi="Arial" w:cs="Arial"/>
          <w:sz w:val="22"/>
          <w:szCs w:val="22"/>
          <w:lang w:val="es-AR"/>
        </w:rPr>
      </w:pPr>
      <w:r>
        <w:rPr>
          <w:rFonts w:ascii="Arial" w:hAnsi="Arial" w:cs="Arial"/>
          <w:sz w:val="22"/>
          <w:szCs w:val="22"/>
          <w:lang w:val="es-AR"/>
        </w:rPr>
        <w:t>Profesorado de Lengua</w:t>
      </w:r>
      <w:bookmarkStart w:id="0" w:name="_GoBack"/>
      <w:bookmarkEnd w:id="0"/>
      <w:r>
        <w:rPr>
          <w:rFonts w:ascii="Arial" w:hAnsi="Arial" w:cs="Arial"/>
          <w:sz w:val="22"/>
          <w:szCs w:val="22"/>
          <w:lang w:val="es-AR"/>
        </w:rPr>
        <w:t>.</w:t>
      </w:r>
    </w:p>
    <w:p w:rsidR="00B43012" w:rsidRDefault="00B43012" w:rsidP="00142A7B">
      <w:pPr>
        <w:spacing w:line="360" w:lineRule="auto"/>
        <w:jc w:val="both"/>
        <w:rPr>
          <w:rFonts w:ascii="Arial" w:hAnsi="Arial" w:cs="Arial"/>
          <w:sz w:val="22"/>
          <w:szCs w:val="22"/>
          <w:lang w:val="es-AR"/>
        </w:rPr>
      </w:pPr>
    </w:p>
    <w:p w:rsidR="00B43012" w:rsidRDefault="00B43012" w:rsidP="00142A7B">
      <w:pPr>
        <w:spacing w:line="360" w:lineRule="auto"/>
        <w:jc w:val="both"/>
        <w:rPr>
          <w:rFonts w:ascii="Arial" w:hAnsi="Arial" w:cs="Arial"/>
          <w:b/>
          <w:sz w:val="22"/>
          <w:szCs w:val="22"/>
        </w:rPr>
      </w:pPr>
      <w:r>
        <w:rPr>
          <w:rFonts w:ascii="Arial" w:hAnsi="Arial" w:cs="Arial"/>
          <w:sz w:val="22"/>
          <w:szCs w:val="22"/>
          <w:lang w:val="es-AR"/>
        </w:rPr>
        <w:t xml:space="preserve">Cátedra: </w:t>
      </w:r>
      <w:r>
        <w:rPr>
          <w:rFonts w:ascii="Arial" w:hAnsi="Arial" w:cs="Arial"/>
          <w:bCs/>
          <w:iCs/>
          <w:sz w:val="22"/>
          <w:szCs w:val="22"/>
        </w:rPr>
        <w:t>Psicología y Cultura del alumno del Nivel</w:t>
      </w:r>
      <w:r>
        <w:rPr>
          <w:rFonts w:ascii="Arial" w:hAnsi="Arial" w:cs="Arial"/>
          <w:b/>
          <w:sz w:val="22"/>
          <w:szCs w:val="22"/>
        </w:rPr>
        <w:t xml:space="preserve">. </w:t>
      </w: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sz w:val="22"/>
          <w:szCs w:val="22"/>
        </w:rPr>
      </w:pPr>
      <w:r>
        <w:rPr>
          <w:rFonts w:ascii="Arial" w:hAnsi="Arial" w:cs="Arial"/>
          <w:sz w:val="22"/>
          <w:szCs w:val="22"/>
        </w:rPr>
        <w:t>Curso: 2° año</w:t>
      </w:r>
    </w:p>
    <w:p w:rsidR="00B43012" w:rsidRDefault="00B43012" w:rsidP="00142A7B">
      <w:pPr>
        <w:spacing w:line="360" w:lineRule="auto"/>
        <w:jc w:val="both"/>
        <w:rPr>
          <w:rFonts w:ascii="Arial" w:hAnsi="Arial" w:cs="Arial"/>
          <w:sz w:val="22"/>
          <w:szCs w:val="22"/>
          <w:lang w:val="es-AR"/>
        </w:rPr>
      </w:pPr>
    </w:p>
    <w:p w:rsidR="00B43012" w:rsidRDefault="00B43012" w:rsidP="00142A7B">
      <w:pPr>
        <w:spacing w:line="360" w:lineRule="auto"/>
        <w:jc w:val="both"/>
        <w:rPr>
          <w:rFonts w:ascii="Arial" w:hAnsi="Arial" w:cs="Arial"/>
          <w:sz w:val="22"/>
          <w:szCs w:val="22"/>
          <w:lang w:val="es-AR"/>
        </w:rPr>
      </w:pPr>
      <w:r>
        <w:rPr>
          <w:rFonts w:ascii="Arial" w:hAnsi="Arial" w:cs="Arial"/>
          <w:sz w:val="22"/>
          <w:szCs w:val="22"/>
          <w:lang w:val="es-AR"/>
        </w:rPr>
        <w:t>Docente: Gilles Laura.</w:t>
      </w:r>
    </w:p>
    <w:p w:rsidR="00B43012" w:rsidRDefault="00B43012" w:rsidP="00142A7B">
      <w:pPr>
        <w:spacing w:line="360" w:lineRule="auto"/>
        <w:jc w:val="both"/>
        <w:rPr>
          <w:rFonts w:ascii="Arial" w:hAnsi="Arial" w:cs="Arial"/>
          <w:sz w:val="22"/>
          <w:szCs w:val="22"/>
          <w:lang w:val="es-AR"/>
        </w:rPr>
      </w:pPr>
    </w:p>
    <w:p w:rsidR="00B43012" w:rsidRDefault="00B43012" w:rsidP="00142A7B">
      <w:pPr>
        <w:spacing w:line="360" w:lineRule="auto"/>
        <w:jc w:val="both"/>
        <w:rPr>
          <w:rFonts w:ascii="Arial" w:hAnsi="Arial" w:cs="Arial"/>
          <w:sz w:val="22"/>
          <w:szCs w:val="22"/>
          <w:lang w:val="es-AR"/>
        </w:rPr>
      </w:pPr>
    </w:p>
    <w:p w:rsidR="00B43012" w:rsidRDefault="00B43012" w:rsidP="00142A7B">
      <w:pPr>
        <w:spacing w:line="360" w:lineRule="auto"/>
        <w:jc w:val="both"/>
        <w:rPr>
          <w:rFonts w:ascii="Arial" w:hAnsi="Arial" w:cs="Arial"/>
          <w:sz w:val="22"/>
          <w:szCs w:val="22"/>
          <w:lang w:val="es-AR"/>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r>
        <w:rPr>
          <w:rFonts w:ascii="Arial" w:hAnsi="Arial" w:cs="Arial"/>
          <w:b/>
          <w:sz w:val="22"/>
          <w:szCs w:val="22"/>
        </w:rPr>
        <w:t>Fundamentación:</w:t>
      </w:r>
    </w:p>
    <w:p w:rsidR="00B43012" w:rsidRDefault="00B43012" w:rsidP="00142A7B">
      <w:pPr>
        <w:spacing w:line="360" w:lineRule="auto"/>
        <w:jc w:val="both"/>
        <w:rPr>
          <w:rFonts w:ascii="Arial" w:hAnsi="Arial" w:cs="Arial"/>
          <w:sz w:val="22"/>
          <w:szCs w:val="22"/>
        </w:rPr>
      </w:pPr>
      <w:r>
        <w:rPr>
          <w:rFonts w:ascii="Arial" w:hAnsi="Arial" w:cs="Arial"/>
          <w:sz w:val="22"/>
          <w:szCs w:val="22"/>
        </w:rPr>
        <w:t>El propósito de la cátedra es acercar a los alumnos a las diversas conceptualizaciones sobre el adolescente. Siendo éste último el sujeto al cual estará destinada la tarea pedagógica, es necesario contar con herramientas que permitan el conocimiento del mismo con la finalidad de generar una práctica educativa óptima.</w:t>
      </w:r>
    </w:p>
    <w:p w:rsidR="00B43012" w:rsidRDefault="00B43012" w:rsidP="00142A7B">
      <w:pPr>
        <w:spacing w:line="360" w:lineRule="auto"/>
        <w:jc w:val="both"/>
        <w:rPr>
          <w:rFonts w:ascii="Arial" w:hAnsi="Arial" w:cs="Arial"/>
          <w:color w:val="333333"/>
          <w:sz w:val="22"/>
          <w:szCs w:val="22"/>
        </w:rPr>
      </w:pPr>
      <w:r>
        <w:rPr>
          <w:rFonts w:ascii="Arial" w:hAnsi="Arial" w:cs="Arial"/>
          <w:sz w:val="22"/>
          <w:szCs w:val="22"/>
        </w:rPr>
        <w:t>El docente, como adulto responsable de la formación de jóvenes, debe estar al tanto de los cambios que caracterizan esta etapa de la vida, de sus particularidades, para acompañar al adolescente en su trayecto educativo, dando lugar a la palabra y a la escucha, habilitando espacios de expresión y evitando prejuicios y etiquetamientos.</w:t>
      </w:r>
      <w:r>
        <w:rPr>
          <w:rFonts w:ascii="Arial" w:hAnsi="Arial" w:cs="Arial"/>
          <w:color w:val="333333"/>
          <w:sz w:val="22"/>
          <w:szCs w:val="22"/>
        </w:rPr>
        <w:t xml:space="preserve"> </w:t>
      </w:r>
    </w:p>
    <w:p w:rsidR="00B43012" w:rsidRDefault="00B43012" w:rsidP="00142A7B">
      <w:pPr>
        <w:spacing w:line="360" w:lineRule="auto"/>
        <w:jc w:val="both"/>
        <w:rPr>
          <w:rFonts w:ascii="Arial" w:hAnsi="Arial" w:cs="Arial"/>
          <w:sz w:val="22"/>
          <w:szCs w:val="22"/>
        </w:rPr>
      </w:pPr>
      <w:r>
        <w:rPr>
          <w:rFonts w:ascii="Arial" w:hAnsi="Arial" w:cs="Arial"/>
          <w:sz w:val="22"/>
          <w:szCs w:val="22"/>
        </w:rPr>
        <w:t xml:space="preserve">Es tarea del educador el trabajar para la promoción cultural y social de los más jóvenes y, particularmente, con los sectores más vulnerables social, cultural y económicamente. En palabras de Philippe Meirieu: </w:t>
      </w:r>
      <w:r>
        <w:rPr>
          <w:rFonts w:ascii="Arial" w:hAnsi="Arial" w:cs="Arial"/>
          <w:iCs/>
          <w:sz w:val="22"/>
          <w:szCs w:val="22"/>
        </w:rPr>
        <w:t xml:space="preserve">"La educación, en realidad, ha de centrarse en la relación entre el sujeto y el mundo humano que lo acoge. Su función es permitirle construirse a sí mismo como "sujeto en el mundo": heredero de una historia en la que sepa qué está en juego, capaz de comprender el presente y de </w:t>
      </w:r>
      <w:hyperlink r:id="rId5" w:anchor="#" w:tooltip="MEIRIEU, Ph. (1998): Frankenstein educador. Barcelona, Laertes, p.70" w:history="1">
        <w:r>
          <w:rPr>
            <w:rStyle w:val="Hyperlink"/>
            <w:rFonts w:ascii="Arial" w:hAnsi="Arial" w:cs="Arial"/>
            <w:iCs/>
            <w:color w:val="auto"/>
            <w:sz w:val="22"/>
            <w:szCs w:val="22"/>
            <w:u w:val="none"/>
          </w:rPr>
          <w:t>inventar el futuro</w:t>
        </w:r>
      </w:hyperlink>
      <w:r>
        <w:rPr>
          <w:rFonts w:ascii="Arial" w:hAnsi="Arial" w:cs="Arial"/>
          <w:iCs/>
          <w:sz w:val="22"/>
          <w:szCs w:val="22"/>
        </w:rPr>
        <w:t>"</w:t>
      </w:r>
      <w:r>
        <w:rPr>
          <w:rFonts w:ascii="Arial" w:hAnsi="Arial" w:cs="Arial"/>
          <w:sz w:val="22"/>
          <w:szCs w:val="22"/>
        </w:rPr>
        <w:t xml:space="preserve">. </w:t>
      </w:r>
    </w:p>
    <w:p w:rsidR="00B43012" w:rsidRDefault="00B43012" w:rsidP="00142A7B">
      <w:pPr>
        <w:spacing w:line="360" w:lineRule="auto"/>
        <w:jc w:val="both"/>
        <w:rPr>
          <w:rFonts w:ascii="Arial" w:hAnsi="Arial" w:cs="Arial"/>
          <w:sz w:val="22"/>
          <w:szCs w:val="22"/>
        </w:rPr>
      </w:pPr>
    </w:p>
    <w:p w:rsidR="00B43012" w:rsidRDefault="00B43012" w:rsidP="00142A7B">
      <w:pPr>
        <w:spacing w:line="360" w:lineRule="auto"/>
        <w:jc w:val="both"/>
        <w:rPr>
          <w:rFonts w:ascii="Arial" w:hAnsi="Arial" w:cs="Arial"/>
          <w:sz w:val="22"/>
          <w:szCs w:val="22"/>
        </w:rPr>
      </w:pPr>
    </w:p>
    <w:p w:rsidR="00B43012" w:rsidRDefault="00B43012" w:rsidP="00142A7B">
      <w:pPr>
        <w:spacing w:line="360" w:lineRule="auto"/>
        <w:jc w:val="both"/>
        <w:rPr>
          <w:rFonts w:ascii="Arial" w:hAnsi="Arial" w:cs="Arial"/>
          <w:b/>
          <w:sz w:val="22"/>
          <w:szCs w:val="22"/>
        </w:rPr>
      </w:pPr>
      <w:r>
        <w:rPr>
          <w:rFonts w:ascii="Arial" w:hAnsi="Arial" w:cs="Arial"/>
          <w:b/>
          <w:sz w:val="22"/>
          <w:szCs w:val="22"/>
        </w:rPr>
        <w:t>Objetivos:</w:t>
      </w:r>
    </w:p>
    <w:p w:rsidR="00B43012" w:rsidRDefault="00B43012" w:rsidP="00142A7B">
      <w:pPr>
        <w:spacing w:line="360" w:lineRule="auto"/>
        <w:jc w:val="both"/>
        <w:rPr>
          <w:rFonts w:ascii="Arial" w:hAnsi="Arial" w:cs="Arial"/>
          <w:b/>
          <w:sz w:val="22"/>
          <w:szCs w:val="22"/>
        </w:rPr>
      </w:pPr>
    </w:p>
    <w:p w:rsidR="00B43012" w:rsidRDefault="00B43012" w:rsidP="00142A7B">
      <w:pPr>
        <w:numPr>
          <w:ilvl w:val="0"/>
          <w:numId w:val="1"/>
        </w:numPr>
        <w:spacing w:line="360" w:lineRule="auto"/>
        <w:jc w:val="both"/>
        <w:rPr>
          <w:rFonts w:ascii="Arial" w:hAnsi="Arial" w:cs="Arial"/>
          <w:b/>
          <w:sz w:val="22"/>
          <w:szCs w:val="22"/>
        </w:rPr>
      </w:pPr>
      <w:r>
        <w:rPr>
          <w:rFonts w:ascii="Arial" w:hAnsi="Arial" w:cs="Arial"/>
          <w:sz w:val="22"/>
          <w:szCs w:val="22"/>
        </w:rPr>
        <w:t>Conocerán las características generales y específicas del desarrollo cognitivo, social y afectivo de los alumnos del nivel secundario, tomándolas con criterio para seleccionar y organizar contenidos, establecer estrategias didácticas y evaluar los aprendizajes.</w:t>
      </w:r>
    </w:p>
    <w:p w:rsidR="00B43012" w:rsidRDefault="00B43012" w:rsidP="00142A7B">
      <w:pPr>
        <w:numPr>
          <w:ilvl w:val="0"/>
          <w:numId w:val="1"/>
        </w:numPr>
        <w:spacing w:line="360" w:lineRule="auto"/>
        <w:jc w:val="both"/>
        <w:rPr>
          <w:rFonts w:ascii="Arial" w:hAnsi="Arial" w:cs="Arial"/>
          <w:b/>
          <w:sz w:val="22"/>
          <w:szCs w:val="22"/>
        </w:rPr>
      </w:pPr>
      <w:r>
        <w:rPr>
          <w:rFonts w:ascii="Arial" w:hAnsi="Arial" w:cs="Arial"/>
          <w:sz w:val="22"/>
          <w:szCs w:val="22"/>
        </w:rPr>
        <w:t>Considerarán al Sistema Educativo como espacio para la prevención primaria ante las problemáticas psicológicas actuales.</w:t>
      </w:r>
    </w:p>
    <w:p w:rsidR="00B43012" w:rsidRDefault="00B43012" w:rsidP="00142A7B">
      <w:pPr>
        <w:numPr>
          <w:ilvl w:val="0"/>
          <w:numId w:val="1"/>
        </w:numPr>
        <w:spacing w:line="360" w:lineRule="auto"/>
        <w:jc w:val="both"/>
        <w:rPr>
          <w:rFonts w:ascii="Arial" w:hAnsi="Arial" w:cs="Arial"/>
          <w:b/>
          <w:sz w:val="22"/>
          <w:szCs w:val="22"/>
        </w:rPr>
      </w:pPr>
      <w:r>
        <w:rPr>
          <w:rFonts w:ascii="Arial" w:hAnsi="Arial" w:cs="Arial"/>
          <w:sz w:val="22"/>
          <w:szCs w:val="22"/>
        </w:rPr>
        <w:t>Se propone que los futuros docentes conozcan y comparen diferentes teorías del desarrollo, centrándose en el reconocimiento de similitudes y diferencias entre las mismas.</w:t>
      </w:r>
    </w:p>
    <w:p w:rsidR="00B43012" w:rsidRDefault="00B43012" w:rsidP="00142A7B">
      <w:pPr>
        <w:numPr>
          <w:ilvl w:val="0"/>
          <w:numId w:val="1"/>
        </w:numPr>
        <w:spacing w:line="360" w:lineRule="auto"/>
        <w:jc w:val="both"/>
        <w:rPr>
          <w:rFonts w:ascii="Arial" w:hAnsi="Arial" w:cs="Arial"/>
          <w:b/>
          <w:sz w:val="22"/>
          <w:szCs w:val="22"/>
        </w:rPr>
      </w:pPr>
      <w:r>
        <w:rPr>
          <w:rFonts w:ascii="Arial" w:hAnsi="Arial" w:cs="Arial"/>
          <w:sz w:val="22"/>
          <w:szCs w:val="22"/>
        </w:rPr>
        <w:t>Accederán al conocimiento de distintas teorías del aprendizaje cuya comprensión resulta necesaria para alcanzar una visión integrada.</w:t>
      </w:r>
    </w:p>
    <w:p w:rsidR="00B43012" w:rsidRDefault="00B43012" w:rsidP="00142A7B">
      <w:pPr>
        <w:numPr>
          <w:ilvl w:val="0"/>
          <w:numId w:val="1"/>
        </w:numPr>
        <w:spacing w:line="360" w:lineRule="auto"/>
        <w:jc w:val="both"/>
        <w:rPr>
          <w:rFonts w:ascii="Arial" w:hAnsi="Arial" w:cs="Arial"/>
          <w:b/>
          <w:sz w:val="22"/>
          <w:szCs w:val="22"/>
        </w:rPr>
      </w:pPr>
      <w:r>
        <w:rPr>
          <w:rFonts w:ascii="Arial" w:hAnsi="Arial" w:cs="Arial"/>
          <w:sz w:val="22"/>
          <w:szCs w:val="22"/>
        </w:rPr>
        <w:t>Considerarán los aportes del conocimiento psicológico para diseñar las actividades de los alumnos, así como para realizar intervenciones pedagógicamente eficaces.</w:t>
      </w:r>
    </w:p>
    <w:p w:rsidR="00B43012" w:rsidRDefault="00B43012" w:rsidP="00142A7B">
      <w:pPr>
        <w:numPr>
          <w:ilvl w:val="0"/>
          <w:numId w:val="1"/>
        </w:numPr>
        <w:spacing w:line="360" w:lineRule="auto"/>
        <w:jc w:val="both"/>
        <w:rPr>
          <w:rFonts w:ascii="Arial" w:hAnsi="Arial" w:cs="Arial"/>
          <w:b/>
          <w:sz w:val="22"/>
          <w:szCs w:val="22"/>
        </w:rPr>
      </w:pPr>
      <w:r>
        <w:rPr>
          <w:rFonts w:ascii="Arial" w:hAnsi="Arial" w:cs="Arial"/>
          <w:sz w:val="22"/>
          <w:szCs w:val="22"/>
        </w:rPr>
        <w:t>Conocerán la evolución del desarrollo cognitivo, lingüístico y social que se producen en este período.</w:t>
      </w:r>
    </w:p>
    <w:p w:rsidR="00B43012" w:rsidRDefault="00B43012" w:rsidP="00142A7B">
      <w:pPr>
        <w:numPr>
          <w:ilvl w:val="0"/>
          <w:numId w:val="2"/>
        </w:numPr>
        <w:spacing w:line="360" w:lineRule="auto"/>
        <w:jc w:val="both"/>
        <w:rPr>
          <w:rFonts w:ascii="Arial" w:hAnsi="Arial" w:cs="Arial"/>
          <w:sz w:val="22"/>
          <w:szCs w:val="22"/>
        </w:rPr>
      </w:pPr>
      <w:r>
        <w:rPr>
          <w:rFonts w:ascii="Arial" w:hAnsi="Arial" w:cs="Arial"/>
          <w:sz w:val="22"/>
          <w:szCs w:val="22"/>
        </w:rPr>
        <w:t>Tendrán en cuenta dichos aspectos del desarrollo para elaborar estrategias pedagógicas eficaces al nivel del aula y de la institución.</w:t>
      </w:r>
    </w:p>
    <w:p w:rsidR="00B43012" w:rsidRDefault="00B43012" w:rsidP="00142A7B">
      <w:pPr>
        <w:spacing w:line="360" w:lineRule="auto"/>
        <w:ind w:left="360"/>
        <w:jc w:val="both"/>
        <w:rPr>
          <w:rFonts w:ascii="Arial" w:hAnsi="Arial" w:cs="Arial"/>
          <w:b/>
          <w:sz w:val="22"/>
          <w:szCs w:val="22"/>
        </w:rPr>
      </w:pPr>
    </w:p>
    <w:p w:rsidR="00B43012" w:rsidRDefault="00B43012" w:rsidP="00142A7B">
      <w:pPr>
        <w:spacing w:line="360" w:lineRule="auto"/>
        <w:ind w:left="360"/>
        <w:jc w:val="both"/>
        <w:rPr>
          <w:rFonts w:ascii="Arial" w:hAnsi="Arial" w:cs="Arial"/>
          <w:sz w:val="22"/>
          <w:szCs w:val="22"/>
        </w:rPr>
      </w:pPr>
      <w:r>
        <w:rPr>
          <w:rFonts w:ascii="Arial" w:hAnsi="Arial" w:cs="Arial"/>
          <w:b/>
          <w:sz w:val="22"/>
          <w:szCs w:val="22"/>
        </w:rPr>
        <w:t>Contenidos:</w:t>
      </w:r>
    </w:p>
    <w:p w:rsidR="00B43012" w:rsidRDefault="00B43012" w:rsidP="00142A7B">
      <w:pPr>
        <w:spacing w:line="360" w:lineRule="auto"/>
        <w:jc w:val="both"/>
        <w:rPr>
          <w:rFonts w:ascii="Arial" w:hAnsi="Arial" w:cs="Arial"/>
          <w:sz w:val="22"/>
          <w:szCs w:val="22"/>
        </w:rPr>
      </w:pPr>
    </w:p>
    <w:p w:rsidR="00B43012" w:rsidRDefault="00B43012" w:rsidP="00142A7B">
      <w:pPr>
        <w:keepNext/>
        <w:numPr>
          <w:ilvl w:val="0"/>
          <w:numId w:val="3"/>
        </w:numPr>
        <w:spacing w:before="120" w:line="360" w:lineRule="auto"/>
        <w:jc w:val="both"/>
        <w:outlineLvl w:val="0"/>
        <w:rPr>
          <w:rFonts w:ascii="Arial" w:hAnsi="Arial" w:cs="Arial"/>
          <w:iCs/>
          <w:sz w:val="22"/>
          <w:szCs w:val="22"/>
        </w:rPr>
      </w:pPr>
      <w:r>
        <w:rPr>
          <w:rFonts w:ascii="Arial" w:hAnsi="Arial" w:cs="Arial"/>
          <w:iCs/>
          <w:sz w:val="22"/>
          <w:szCs w:val="22"/>
        </w:rPr>
        <w:t>Pubertad y adolescencia. El desarrollo físico.</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Adolescencia y pubertad, La adolescencia como fenómeno reciente.  La crisis de la adolescencia: mitos y realidades. Los cambios físicos de la pubertad y sus consecuencias psicológicas.  Teorías que explican la adolescencia. El proceso de la adolescencia: adolescencia temprana, media y tardía. Prolongación de la adolescencia</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Nuevas subjetividades adolescentes. La famosa brecha generacional Los duelos en la adolescencia. Los duelos en el contexto de la posmodernidad.</w:t>
      </w:r>
    </w:p>
    <w:p w:rsidR="00B43012" w:rsidRDefault="00B43012" w:rsidP="00142A7B">
      <w:pPr>
        <w:numPr>
          <w:ilvl w:val="0"/>
          <w:numId w:val="3"/>
        </w:numPr>
        <w:spacing w:before="120" w:line="360" w:lineRule="auto"/>
        <w:jc w:val="both"/>
        <w:rPr>
          <w:rFonts w:ascii="Arial" w:hAnsi="Arial" w:cs="Arial"/>
          <w:iCs/>
          <w:sz w:val="22"/>
          <w:szCs w:val="22"/>
          <w:lang w:val="es-MX"/>
        </w:rPr>
      </w:pPr>
      <w:r>
        <w:rPr>
          <w:rFonts w:ascii="Arial" w:hAnsi="Arial" w:cs="Arial"/>
          <w:iCs/>
          <w:sz w:val="22"/>
          <w:szCs w:val="22"/>
          <w:lang w:val="es-MX"/>
        </w:rPr>
        <w:t>Desarrollo cognitivo y aprendizaje</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La concepción piagetiana de las operaciones formales: características generales, dificultades de adquisición.</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Nuevas perspectivas sobre el pensamiento formal. La influencia del contenido. La influencia del conocimiento previo</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Tareas formales de contenido social. La comprensión de nociones sociales en la adolescencia. Operaciones formales y educación.</w:t>
      </w:r>
    </w:p>
    <w:p w:rsidR="00B43012" w:rsidRDefault="00B43012" w:rsidP="00142A7B">
      <w:pPr>
        <w:keepNext/>
        <w:numPr>
          <w:ilvl w:val="0"/>
          <w:numId w:val="3"/>
        </w:numPr>
        <w:spacing w:before="120" w:line="360" w:lineRule="auto"/>
        <w:jc w:val="both"/>
        <w:outlineLvl w:val="3"/>
        <w:rPr>
          <w:rFonts w:ascii="Arial" w:hAnsi="Arial" w:cs="Arial"/>
          <w:bCs/>
          <w:sz w:val="22"/>
          <w:szCs w:val="22"/>
        </w:rPr>
      </w:pPr>
      <w:r>
        <w:rPr>
          <w:rFonts w:ascii="Arial" w:hAnsi="Arial" w:cs="Arial"/>
          <w:bCs/>
          <w:sz w:val="22"/>
          <w:szCs w:val="22"/>
        </w:rPr>
        <w:t>Desarrollo de la personalidad en la adolescencia</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Edad de transición. La imagen romántica. Determinantes culturales y ritos de transición. Período de aplazamiento.</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La identidad personal. Génesis de la identidad. La encrucijada adolescente.</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El concepto de sí mismo.</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Comportamiento de transición; la conducta sexual.</w:t>
      </w:r>
    </w:p>
    <w:p w:rsidR="00B43012" w:rsidRDefault="00B43012" w:rsidP="00142A7B">
      <w:pPr>
        <w:numPr>
          <w:ilvl w:val="0"/>
          <w:numId w:val="3"/>
        </w:numPr>
        <w:spacing w:before="120" w:line="360" w:lineRule="auto"/>
        <w:jc w:val="both"/>
        <w:rPr>
          <w:rFonts w:ascii="Arial" w:hAnsi="Arial" w:cs="Arial"/>
          <w:iCs/>
          <w:sz w:val="22"/>
          <w:szCs w:val="22"/>
          <w:lang w:val="es-MX"/>
        </w:rPr>
      </w:pPr>
      <w:r>
        <w:rPr>
          <w:rFonts w:ascii="Arial" w:hAnsi="Arial" w:cs="Arial"/>
          <w:iCs/>
          <w:sz w:val="22"/>
          <w:szCs w:val="22"/>
          <w:lang w:val="es-MX"/>
        </w:rPr>
        <w:t>Relaciones sociales en la adolescencia.</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Independencia y adaptación adolescente. La emancipación familiar. El grupo de los compañeros. Conflicto y adaptación. Formas de participación.</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Los valores en la adolescencia. El juicio y el razonamiento moral. El juicio moral autónomo y la cooperación entre iguales. La moralidad post-convencional. Los estadios morales y la transición de unos a otros.</w:t>
      </w:r>
    </w:p>
    <w:p w:rsidR="00B43012" w:rsidRDefault="00B43012" w:rsidP="00142A7B">
      <w:pPr>
        <w:numPr>
          <w:ilvl w:val="0"/>
          <w:numId w:val="3"/>
        </w:numPr>
        <w:spacing w:before="120" w:line="360" w:lineRule="auto"/>
        <w:jc w:val="both"/>
        <w:rPr>
          <w:rFonts w:ascii="Arial" w:hAnsi="Arial" w:cs="Arial"/>
          <w:iCs/>
          <w:sz w:val="22"/>
          <w:szCs w:val="22"/>
          <w:lang w:val="es-MX"/>
        </w:rPr>
      </w:pPr>
      <w:r>
        <w:rPr>
          <w:rFonts w:ascii="Arial" w:hAnsi="Arial" w:cs="Arial"/>
          <w:iCs/>
          <w:sz w:val="22"/>
          <w:szCs w:val="22"/>
          <w:lang w:val="es-MX"/>
        </w:rPr>
        <w:t>Ser adolescente</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Adolescencia y escuela secundaria</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Adolescencia y orientación vocacional-ocupacional.</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Adolescencia y drogadicción</w:t>
      </w:r>
    </w:p>
    <w:p w:rsidR="00B43012" w:rsidRDefault="00B43012" w:rsidP="00142A7B">
      <w:pPr>
        <w:numPr>
          <w:ilvl w:val="0"/>
          <w:numId w:val="3"/>
        </w:numPr>
        <w:spacing w:line="360" w:lineRule="auto"/>
        <w:jc w:val="both"/>
        <w:rPr>
          <w:rFonts w:ascii="Arial" w:hAnsi="Arial" w:cs="Arial"/>
          <w:sz w:val="22"/>
          <w:szCs w:val="22"/>
          <w:lang w:val="es-MX"/>
        </w:rPr>
      </w:pPr>
      <w:r>
        <w:rPr>
          <w:rFonts w:ascii="Arial" w:hAnsi="Arial" w:cs="Arial"/>
          <w:sz w:val="22"/>
          <w:szCs w:val="22"/>
          <w:lang w:val="es-MX"/>
        </w:rPr>
        <w:t>Adolescencia y alcohol</w:t>
      </w:r>
    </w:p>
    <w:p w:rsidR="00B43012" w:rsidRDefault="00B43012" w:rsidP="00142A7B">
      <w:pPr>
        <w:spacing w:line="360" w:lineRule="auto"/>
        <w:jc w:val="both"/>
        <w:rPr>
          <w:rFonts w:ascii="Arial" w:hAnsi="Arial" w:cs="Arial"/>
          <w:sz w:val="22"/>
          <w:szCs w:val="22"/>
          <w:lang w:val="es-MX"/>
        </w:rPr>
      </w:pPr>
    </w:p>
    <w:p w:rsidR="00B43012" w:rsidRDefault="00B43012" w:rsidP="00142A7B">
      <w:pPr>
        <w:spacing w:line="360" w:lineRule="auto"/>
        <w:jc w:val="both"/>
        <w:rPr>
          <w:rFonts w:ascii="Arial" w:hAnsi="Arial" w:cs="Arial"/>
          <w:sz w:val="22"/>
          <w:szCs w:val="22"/>
        </w:rPr>
      </w:pPr>
    </w:p>
    <w:p w:rsidR="00B43012" w:rsidRDefault="00B43012" w:rsidP="00142A7B">
      <w:pPr>
        <w:spacing w:line="360" w:lineRule="auto"/>
        <w:jc w:val="both"/>
        <w:rPr>
          <w:rFonts w:ascii="Arial" w:hAnsi="Arial" w:cs="Arial"/>
          <w:b/>
          <w:sz w:val="22"/>
          <w:szCs w:val="22"/>
        </w:rPr>
      </w:pPr>
      <w:r>
        <w:rPr>
          <w:rFonts w:ascii="Arial" w:hAnsi="Arial" w:cs="Arial"/>
          <w:b/>
          <w:sz w:val="22"/>
          <w:szCs w:val="22"/>
        </w:rPr>
        <w:t>Metodología:</w:t>
      </w:r>
    </w:p>
    <w:p w:rsidR="00B43012" w:rsidRDefault="00B43012" w:rsidP="00142A7B">
      <w:pPr>
        <w:numPr>
          <w:ilvl w:val="0"/>
          <w:numId w:val="4"/>
        </w:numPr>
        <w:spacing w:line="360" w:lineRule="auto"/>
        <w:jc w:val="both"/>
        <w:rPr>
          <w:rFonts w:ascii="Arial" w:hAnsi="Arial" w:cs="Arial"/>
          <w:sz w:val="22"/>
          <w:szCs w:val="22"/>
          <w:lang w:eastAsia="es-AR"/>
        </w:rPr>
      </w:pPr>
      <w:r>
        <w:rPr>
          <w:rFonts w:ascii="Arial" w:hAnsi="Arial" w:cs="Arial"/>
          <w:sz w:val="22"/>
          <w:szCs w:val="22"/>
          <w:lang w:eastAsia="es-AR"/>
        </w:rPr>
        <w:t>Lectura de textos vinculados con la cátedra.</w:t>
      </w:r>
    </w:p>
    <w:p w:rsidR="00B43012" w:rsidRDefault="00B43012" w:rsidP="00142A7B">
      <w:pPr>
        <w:numPr>
          <w:ilvl w:val="0"/>
          <w:numId w:val="5"/>
        </w:numPr>
        <w:spacing w:line="360" w:lineRule="auto"/>
        <w:jc w:val="both"/>
        <w:rPr>
          <w:rFonts w:ascii="Arial" w:hAnsi="Arial" w:cs="Arial"/>
          <w:sz w:val="22"/>
          <w:szCs w:val="22"/>
          <w:lang w:val="es-MX" w:eastAsia="es-AR"/>
        </w:rPr>
      </w:pPr>
      <w:r>
        <w:rPr>
          <w:rFonts w:ascii="Arial" w:hAnsi="Arial" w:cs="Arial"/>
          <w:sz w:val="22"/>
          <w:szCs w:val="22"/>
          <w:lang w:val="es-MX" w:eastAsia="es-AR"/>
        </w:rPr>
        <w:t>Actividades de análisis e  interpretación de textos y material audiovisual en función de las teorías abordadas en la clase.</w:t>
      </w:r>
    </w:p>
    <w:p w:rsidR="00B43012" w:rsidRDefault="00B43012" w:rsidP="00142A7B">
      <w:pPr>
        <w:numPr>
          <w:ilvl w:val="0"/>
          <w:numId w:val="5"/>
        </w:numPr>
        <w:spacing w:line="360" w:lineRule="auto"/>
        <w:jc w:val="both"/>
        <w:rPr>
          <w:rFonts w:ascii="Arial" w:hAnsi="Arial" w:cs="Arial"/>
          <w:sz w:val="22"/>
          <w:szCs w:val="22"/>
          <w:lang w:val="es-MX" w:eastAsia="es-AR"/>
        </w:rPr>
      </w:pPr>
      <w:r>
        <w:rPr>
          <w:rFonts w:ascii="Arial" w:hAnsi="Arial" w:cs="Arial"/>
          <w:sz w:val="22"/>
          <w:szCs w:val="22"/>
          <w:lang w:val="es-MX" w:eastAsia="es-AR"/>
        </w:rPr>
        <w:t>Aplicación de diversas técnicas de estudio: cuestionarios, cuadros sinópticos, mapas conceptuales, resumen, síntesis.</w:t>
      </w:r>
    </w:p>
    <w:p w:rsidR="00B43012" w:rsidRDefault="00B43012" w:rsidP="00142A7B">
      <w:pPr>
        <w:numPr>
          <w:ilvl w:val="0"/>
          <w:numId w:val="5"/>
        </w:numPr>
        <w:spacing w:line="360" w:lineRule="auto"/>
        <w:jc w:val="both"/>
        <w:rPr>
          <w:rFonts w:ascii="Arial" w:hAnsi="Arial" w:cs="Arial"/>
          <w:sz w:val="22"/>
          <w:szCs w:val="22"/>
          <w:lang w:val="es-MX" w:eastAsia="es-AR"/>
        </w:rPr>
      </w:pPr>
      <w:r>
        <w:rPr>
          <w:rFonts w:ascii="Arial" w:hAnsi="Arial" w:cs="Arial"/>
          <w:sz w:val="22"/>
          <w:szCs w:val="22"/>
          <w:lang w:val="es-MX" w:eastAsia="es-AR"/>
        </w:rPr>
        <w:t>Producción de textos.</w:t>
      </w:r>
    </w:p>
    <w:p w:rsidR="00B43012" w:rsidRDefault="00B43012" w:rsidP="00142A7B">
      <w:pPr>
        <w:spacing w:line="360" w:lineRule="auto"/>
        <w:jc w:val="both"/>
        <w:rPr>
          <w:rFonts w:ascii="Arial" w:hAnsi="Arial" w:cs="Arial"/>
          <w:b/>
          <w:sz w:val="22"/>
          <w:szCs w:val="22"/>
          <w:lang w:val="es-AR"/>
        </w:rPr>
      </w:pPr>
    </w:p>
    <w:p w:rsidR="00B43012" w:rsidRDefault="00B43012" w:rsidP="00142A7B">
      <w:pPr>
        <w:spacing w:after="120" w:line="360" w:lineRule="auto"/>
        <w:jc w:val="both"/>
        <w:rPr>
          <w:rFonts w:ascii="Arial" w:hAnsi="Arial" w:cs="Arial"/>
          <w:b/>
          <w:sz w:val="22"/>
          <w:szCs w:val="22"/>
        </w:rPr>
      </w:pPr>
    </w:p>
    <w:p w:rsidR="00B43012" w:rsidRDefault="00B43012" w:rsidP="00142A7B">
      <w:pPr>
        <w:spacing w:line="360" w:lineRule="auto"/>
        <w:jc w:val="both"/>
        <w:rPr>
          <w:rFonts w:ascii="Arial" w:hAnsi="Arial" w:cs="Arial"/>
          <w:b/>
          <w:sz w:val="22"/>
          <w:szCs w:val="22"/>
        </w:rPr>
      </w:pPr>
      <w:r>
        <w:rPr>
          <w:rFonts w:ascii="Arial" w:hAnsi="Arial" w:cs="Arial"/>
          <w:b/>
          <w:sz w:val="22"/>
          <w:szCs w:val="22"/>
        </w:rPr>
        <w:t>Evaluación:</w:t>
      </w:r>
    </w:p>
    <w:p w:rsidR="00B43012" w:rsidRDefault="00B43012" w:rsidP="00142A7B">
      <w:pPr>
        <w:spacing w:line="360" w:lineRule="auto"/>
        <w:jc w:val="both"/>
        <w:rPr>
          <w:rFonts w:ascii="Arial" w:hAnsi="Arial" w:cs="Arial"/>
          <w:sz w:val="22"/>
          <w:szCs w:val="22"/>
          <w:lang w:val="es-AR"/>
        </w:rPr>
      </w:pPr>
      <w:r>
        <w:rPr>
          <w:rFonts w:ascii="Arial" w:hAnsi="Arial" w:cs="Arial"/>
          <w:sz w:val="22"/>
          <w:szCs w:val="22"/>
          <w:lang w:val="es-AR"/>
        </w:rPr>
        <w:t>Criterios: Asistencia a cátedra, aprobación de trabajos prácticos y de las evaluaciones parciales.</w:t>
      </w:r>
    </w:p>
    <w:p w:rsidR="00B43012" w:rsidRDefault="00B43012" w:rsidP="00142A7B">
      <w:pPr>
        <w:spacing w:line="360" w:lineRule="auto"/>
        <w:jc w:val="both"/>
        <w:rPr>
          <w:rFonts w:ascii="Arial" w:hAnsi="Arial" w:cs="Arial"/>
          <w:sz w:val="22"/>
          <w:szCs w:val="22"/>
          <w:lang w:val="es-AR"/>
        </w:rPr>
      </w:pPr>
      <w:r>
        <w:rPr>
          <w:rFonts w:ascii="Arial" w:hAnsi="Arial" w:cs="Arial"/>
          <w:sz w:val="22"/>
          <w:szCs w:val="22"/>
          <w:lang w:val="es-AR"/>
        </w:rPr>
        <w:t>Instrumentos: Trabajos Prácticos, parciales.</w:t>
      </w:r>
    </w:p>
    <w:p w:rsidR="00B43012" w:rsidRDefault="00B43012" w:rsidP="00142A7B">
      <w:pPr>
        <w:spacing w:line="360" w:lineRule="auto"/>
        <w:jc w:val="both"/>
        <w:rPr>
          <w:rFonts w:ascii="Arial" w:hAnsi="Arial" w:cs="Arial"/>
          <w:sz w:val="22"/>
          <w:szCs w:val="22"/>
          <w:lang w:val="es-AR"/>
        </w:rPr>
      </w:pPr>
      <w:r>
        <w:rPr>
          <w:rFonts w:ascii="Arial" w:hAnsi="Arial" w:cs="Arial"/>
          <w:sz w:val="22"/>
          <w:szCs w:val="22"/>
          <w:lang w:val="es-AR"/>
        </w:rPr>
        <w:t xml:space="preserve"> Acorde a la Resolución 1066/09 CGE. Los alumnos que cumplan con los requisitos de regularidad estarán en condición de acreditar la cátedra por promoción directa. No se contempla la condición de alumno libre.</w:t>
      </w:r>
    </w:p>
    <w:p w:rsidR="00B43012" w:rsidRDefault="00B43012" w:rsidP="00142A7B">
      <w:pPr>
        <w:spacing w:after="120" w:line="360" w:lineRule="auto"/>
        <w:jc w:val="both"/>
        <w:rPr>
          <w:rFonts w:ascii="Arial" w:hAnsi="Arial" w:cs="Arial"/>
          <w:sz w:val="22"/>
          <w:szCs w:val="22"/>
        </w:rPr>
      </w:pPr>
    </w:p>
    <w:p w:rsidR="00B43012" w:rsidRDefault="00B43012" w:rsidP="00142A7B">
      <w:pPr>
        <w:spacing w:line="360" w:lineRule="auto"/>
        <w:jc w:val="both"/>
        <w:rPr>
          <w:rFonts w:ascii="Arial" w:hAnsi="Arial" w:cs="Arial"/>
          <w:sz w:val="22"/>
          <w:szCs w:val="22"/>
          <w:lang w:val="es-MX"/>
        </w:rPr>
      </w:pPr>
      <w:r>
        <w:rPr>
          <w:rFonts w:ascii="Arial" w:hAnsi="Arial" w:cs="Arial"/>
          <w:b/>
          <w:sz w:val="22"/>
          <w:szCs w:val="22"/>
          <w:lang w:val="es-MX"/>
        </w:rPr>
        <w:t>Bibliografía</w:t>
      </w:r>
      <w:r>
        <w:rPr>
          <w:rFonts w:ascii="Arial" w:hAnsi="Arial" w:cs="Arial"/>
          <w:sz w:val="22"/>
          <w:szCs w:val="22"/>
          <w:lang w:val="es-MX"/>
        </w:rPr>
        <w:t>.</w:t>
      </w:r>
    </w:p>
    <w:p w:rsidR="00B43012" w:rsidRDefault="00B43012" w:rsidP="00142A7B">
      <w:pPr>
        <w:spacing w:line="360" w:lineRule="auto"/>
        <w:jc w:val="both"/>
        <w:rPr>
          <w:rFonts w:ascii="Arial" w:hAnsi="Arial" w:cs="Arial"/>
          <w:b/>
          <w:sz w:val="22"/>
          <w:szCs w:val="22"/>
          <w:lang w:val="es-MX"/>
        </w:rPr>
      </w:pPr>
      <w:r>
        <w:rPr>
          <w:rFonts w:ascii="Arial" w:hAnsi="Arial" w:cs="Arial"/>
          <w:b/>
          <w:sz w:val="22"/>
          <w:szCs w:val="22"/>
          <w:lang w:val="es-MX"/>
        </w:rPr>
        <w:t>Bibliografía del Alumno:</w:t>
      </w:r>
    </w:p>
    <w:p w:rsidR="00B43012" w:rsidRDefault="00B43012" w:rsidP="00142A7B">
      <w:pPr>
        <w:spacing w:line="360" w:lineRule="auto"/>
        <w:jc w:val="both"/>
        <w:rPr>
          <w:rFonts w:ascii="Arial" w:hAnsi="Arial" w:cs="Arial"/>
          <w:b/>
          <w:sz w:val="22"/>
          <w:szCs w:val="22"/>
          <w:lang w:val="es-MX"/>
        </w:rPr>
      </w:pPr>
      <w:r>
        <w:rPr>
          <w:rFonts w:ascii="Arial" w:hAnsi="Arial" w:cs="Arial"/>
          <w:b/>
          <w:sz w:val="22"/>
          <w:szCs w:val="22"/>
          <w:lang w:val="es-MX"/>
        </w:rPr>
        <w:t>Obligatoria:</w:t>
      </w:r>
    </w:p>
    <w:p w:rsidR="00B43012" w:rsidRDefault="00B43012" w:rsidP="00142A7B">
      <w:pPr>
        <w:numPr>
          <w:ilvl w:val="0"/>
          <w:numId w:val="6"/>
        </w:numPr>
        <w:spacing w:line="360" w:lineRule="auto"/>
        <w:jc w:val="both"/>
        <w:rPr>
          <w:rFonts w:ascii="Arial" w:hAnsi="Arial" w:cs="Arial"/>
          <w:sz w:val="22"/>
          <w:szCs w:val="22"/>
          <w:lang w:val="es-AR"/>
        </w:rPr>
      </w:pPr>
      <w:r>
        <w:rPr>
          <w:rFonts w:ascii="Arial" w:hAnsi="Arial" w:cs="Arial"/>
          <w:sz w:val="22"/>
          <w:szCs w:val="22"/>
          <w:lang w:val="es-AR"/>
        </w:rPr>
        <w:t>BARBERO, Jesús. Jóvenes, comunicación e identidad. (*)</w:t>
      </w:r>
      <w:r>
        <w:rPr>
          <w:rFonts w:ascii="Arial" w:hAnsi="Arial" w:cs="Arial"/>
          <w:sz w:val="22"/>
          <w:szCs w:val="22"/>
          <w:lang w:val="es-MX"/>
        </w:rPr>
        <w:t>.</w:t>
      </w:r>
    </w:p>
    <w:p w:rsidR="00B43012" w:rsidRDefault="00B43012" w:rsidP="00142A7B">
      <w:pPr>
        <w:numPr>
          <w:ilvl w:val="0"/>
          <w:numId w:val="6"/>
        </w:numPr>
        <w:spacing w:line="360" w:lineRule="auto"/>
        <w:jc w:val="both"/>
        <w:rPr>
          <w:rFonts w:ascii="Arial" w:hAnsi="Arial" w:cs="Arial"/>
          <w:sz w:val="22"/>
          <w:szCs w:val="22"/>
          <w:lang w:val="es-MX"/>
        </w:rPr>
      </w:pPr>
      <w:r>
        <w:rPr>
          <w:rFonts w:ascii="Arial" w:hAnsi="Arial" w:cs="Arial"/>
          <w:sz w:val="22"/>
          <w:szCs w:val="22"/>
        </w:rPr>
        <w:t>CARUSO y DUSSEL (1995) De Sarmiento a Los Simpson. Bs. As. Kapelusz.</w:t>
      </w:r>
      <w:r>
        <w:rPr>
          <w:rFonts w:ascii="Arial" w:hAnsi="Arial" w:cs="Arial"/>
          <w:sz w:val="22"/>
          <w:szCs w:val="22"/>
          <w:lang w:val="es-AR"/>
        </w:rPr>
        <w:t xml:space="preserve"> COREA, C (2005) El desfondamiento de las instituciones educativas. En: Pedagogía del aburrido. Escuelas destituídas, familias perplejas. Bs. As. Paidós.</w:t>
      </w:r>
    </w:p>
    <w:p w:rsidR="00B43012" w:rsidRDefault="00B43012" w:rsidP="00142A7B">
      <w:pPr>
        <w:numPr>
          <w:ilvl w:val="0"/>
          <w:numId w:val="6"/>
        </w:numPr>
        <w:spacing w:line="360" w:lineRule="auto"/>
        <w:jc w:val="both"/>
        <w:rPr>
          <w:rFonts w:ascii="Arial" w:hAnsi="Arial" w:cs="Arial"/>
          <w:sz w:val="22"/>
          <w:szCs w:val="22"/>
          <w:lang w:val="es-MX"/>
        </w:rPr>
      </w:pPr>
      <w:r>
        <w:rPr>
          <w:rFonts w:ascii="Arial" w:hAnsi="Arial" w:cs="Arial"/>
          <w:sz w:val="22"/>
          <w:szCs w:val="22"/>
          <w:lang w:val="es-AR"/>
        </w:rPr>
        <w:t>COLL, C, PALACIOS, J, MARCHESI, A (1993) Psicología de la Educación. Madrid. Alianza Psicología.</w:t>
      </w:r>
    </w:p>
    <w:p w:rsidR="00B43012" w:rsidRDefault="00B43012" w:rsidP="00142A7B">
      <w:pPr>
        <w:numPr>
          <w:ilvl w:val="0"/>
          <w:numId w:val="6"/>
        </w:numPr>
        <w:spacing w:line="360" w:lineRule="auto"/>
        <w:jc w:val="both"/>
        <w:rPr>
          <w:rFonts w:ascii="Arial" w:hAnsi="Arial" w:cs="Arial"/>
          <w:sz w:val="22"/>
          <w:szCs w:val="22"/>
          <w:lang w:val="es-MX"/>
        </w:rPr>
      </w:pPr>
      <w:r>
        <w:rPr>
          <w:rFonts w:ascii="Arial" w:hAnsi="Arial" w:cs="Arial"/>
          <w:sz w:val="22"/>
          <w:szCs w:val="22"/>
          <w:lang w:val="es-AR"/>
        </w:rPr>
        <w:t>DIRECCIÓN GENERAL DE CULTURA Y EDUCACIÓN DE LA PROVINCIA DE BUENOS AIRES (1995) Módulo 3. Capacitación Docente. Avance en el conocimiento de los procesos cognitivos.</w:t>
      </w:r>
    </w:p>
    <w:p w:rsidR="00B43012" w:rsidRDefault="00B43012" w:rsidP="00142A7B">
      <w:pPr>
        <w:numPr>
          <w:ilvl w:val="0"/>
          <w:numId w:val="6"/>
        </w:numPr>
        <w:spacing w:line="360" w:lineRule="auto"/>
        <w:jc w:val="both"/>
        <w:rPr>
          <w:rFonts w:ascii="Arial" w:hAnsi="Arial" w:cs="Arial"/>
          <w:sz w:val="22"/>
          <w:szCs w:val="22"/>
          <w:lang w:val="pt-BR"/>
        </w:rPr>
      </w:pPr>
      <w:r>
        <w:rPr>
          <w:rFonts w:ascii="Arial" w:hAnsi="Arial" w:cs="Arial"/>
          <w:sz w:val="22"/>
          <w:szCs w:val="22"/>
          <w:lang w:val="pt-BR"/>
        </w:rPr>
        <w:t xml:space="preserve">KIEL, Laura (2005) De </w:t>
      </w:r>
      <w:r>
        <w:rPr>
          <w:rFonts w:ascii="Arial" w:hAnsi="Arial" w:cs="Arial"/>
          <w:sz w:val="22"/>
          <w:szCs w:val="22"/>
          <w:lang w:val="es-AR"/>
        </w:rPr>
        <w:t>sin</w:t>
      </w:r>
      <w:r>
        <w:rPr>
          <w:rFonts w:ascii="Arial" w:hAnsi="Arial" w:cs="Arial"/>
          <w:sz w:val="22"/>
          <w:szCs w:val="22"/>
          <w:lang w:val="pt-BR"/>
        </w:rPr>
        <w:t xml:space="preserve"> limites a limitados. </w:t>
      </w:r>
      <w:r>
        <w:rPr>
          <w:rFonts w:ascii="Arial" w:hAnsi="Arial" w:cs="Arial"/>
          <w:sz w:val="22"/>
          <w:szCs w:val="22"/>
          <w:lang w:val="es-AR"/>
        </w:rPr>
        <w:t>Materiales</w:t>
      </w:r>
      <w:r>
        <w:rPr>
          <w:rFonts w:ascii="Arial" w:hAnsi="Arial" w:cs="Arial"/>
          <w:sz w:val="22"/>
          <w:szCs w:val="22"/>
          <w:lang w:val="pt-BR"/>
        </w:rPr>
        <w:t xml:space="preserve"> para la </w:t>
      </w:r>
      <w:r>
        <w:rPr>
          <w:rFonts w:ascii="Arial" w:hAnsi="Arial" w:cs="Arial"/>
          <w:sz w:val="22"/>
          <w:szCs w:val="22"/>
          <w:lang w:val="es-AR"/>
        </w:rPr>
        <w:t>capacitación. Bs. As. Secretaría de Educación.</w:t>
      </w:r>
    </w:p>
    <w:p w:rsidR="00B43012" w:rsidRDefault="00B43012" w:rsidP="00142A7B">
      <w:pPr>
        <w:numPr>
          <w:ilvl w:val="0"/>
          <w:numId w:val="6"/>
        </w:numPr>
        <w:spacing w:line="360" w:lineRule="auto"/>
        <w:jc w:val="both"/>
        <w:rPr>
          <w:rFonts w:ascii="Arial" w:hAnsi="Arial" w:cs="Arial"/>
          <w:sz w:val="22"/>
          <w:szCs w:val="22"/>
          <w:lang w:val="es-MX"/>
        </w:rPr>
      </w:pPr>
      <w:r>
        <w:rPr>
          <w:rFonts w:ascii="Arial" w:hAnsi="Arial" w:cs="Arial"/>
          <w:sz w:val="22"/>
          <w:szCs w:val="22"/>
          <w:lang w:val="es-MX"/>
        </w:rPr>
        <w:t xml:space="preserve">MARGULIS, Mario. </w:t>
      </w:r>
      <w:r>
        <w:rPr>
          <w:rFonts w:ascii="Arial" w:hAnsi="Arial" w:cs="Arial"/>
          <w:bCs/>
          <w:iCs/>
          <w:sz w:val="22"/>
          <w:szCs w:val="22"/>
          <w:lang w:val="es-MX"/>
        </w:rPr>
        <w:t>La juventud es más que una palabra</w:t>
      </w:r>
      <w:r>
        <w:rPr>
          <w:rFonts w:ascii="Arial" w:hAnsi="Arial" w:cs="Arial"/>
          <w:sz w:val="22"/>
          <w:szCs w:val="22"/>
          <w:lang w:val="es-MX"/>
        </w:rPr>
        <w:t xml:space="preserve">. Editorial Biblos. </w:t>
      </w:r>
    </w:p>
    <w:p w:rsidR="00B43012" w:rsidRDefault="00B43012" w:rsidP="00142A7B">
      <w:pPr>
        <w:numPr>
          <w:ilvl w:val="0"/>
          <w:numId w:val="6"/>
        </w:numPr>
        <w:spacing w:line="360" w:lineRule="auto"/>
        <w:jc w:val="both"/>
        <w:rPr>
          <w:rFonts w:ascii="Arial" w:hAnsi="Arial" w:cs="Arial"/>
          <w:sz w:val="22"/>
          <w:szCs w:val="22"/>
          <w:lang w:val="es-MX"/>
        </w:rPr>
      </w:pPr>
      <w:r>
        <w:rPr>
          <w:rFonts w:ascii="Arial" w:hAnsi="Arial" w:cs="Arial"/>
          <w:sz w:val="22"/>
          <w:szCs w:val="22"/>
          <w:lang w:val="es-MX"/>
        </w:rPr>
        <w:t>NUÑEZ, Violeta (2006) Apuntes acerca de la violencia en niños y jóvenes: una lectura desde la Pedagogía Social. Barcelona.</w:t>
      </w:r>
    </w:p>
    <w:p w:rsidR="00B43012" w:rsidRDefault="00B43012" w:rsidP="00142A7B">
      <w:pPr>
        <w:numPr>
          <w:ilvl w:val="0"/>
          <w:numId w:val="6"/>
        </w:numPr>
        <w:spacing w:line="360" w:lineRule="auto"/>
        <w:jc w:val="both"/>
        <w:rPr>
          <w:rFonts w:ascii="Arial" w:hAnsi="Arial" w:cs="Arial"/>
          <w:sz w:val="22"/>
          <w:szCs w:val="22"/>
          <w:lang w:val="es-MX"/>
        </w:rPr>
      </w:pPr>
      <w:r>
        <w:rPr>
          <w:rFonts w:ascii="Arial" w:hAnsi="Arial" w:cs="Arial"/>
          <w:sz w:val="22"/>
          <w:szCs w:val="22"/>
          <w:lang w:val="es-MX"/>
        </w:rPr>
        <w:t xml:space="preserve">OBIOLS, Guillermo; DI SEGNI DE OBIOLS, Silvia (1996) </w:t>
      </w:r>
      <w:r>
        <w:rPr>
          <w:rFonts w:ascii="Arial" w:hAnsi="Arial" w:cs="Arial"/>
          <w:bCs/>
          <w:iCs/>
          <w:sz w:val="22"/>
          <w:szCs w:val="22"/>
          <w:lang w:val="es-MX"/>
        </w:rPr>
        <w:t>Adolescencia, posmodernidad y escuela secundaria</w:t>
      </w:r>
      <w:r>
        <w:rPr>
          <w:rFonts w:ascii="Arial" w:hAnsi="Arial" w:cs="Arial"/>
          <w:sz w:val="22"/>
          <w:szCs w:val="22"/>
          <w:lang w:val="es-MX"/>
        </w:rPr>
        <w:t xml:space="preserve">. Kapelusz. </w:t>
      </w:r>
    </w:p>
    <w:p w:rsidR="00B43012" w:rsidRDefault="00B43012" w:rsidP="00142A7B">
      <w:pPr>
        <w:numPr>
          <w:ilvl w:val="0"/>
          <w:numId w:val="6"/>
        </w:numPr>
        <w:autoSpaceDE w:val="0"/>
        <w:autoSpaceDN w:val="0"/>
        <w:adjustRightInd w:val="0"/>
        <w:spacing w:line="360" w:lineRule="auto"/>
        <w:jc w:val="both"/>
        <w:rPr>
          <w:rFonts w:ascii="Arial" w:hAnsi="Arial" w:cs="Arial"/>
          <w:sz w:val="22"/>
          <w:szCs w:val="22"/>
          <w:lang w:val="es-AR" w:eastAsia="es-AR"/>
        </w:rPr>
      </w:pPr>
      <w:r>
        <w:rPr>
          <w:rFonts w:ascii="Arial" w:hAnsi="Arial" w:cs="Arial"/>
          <w:sz w:val="22"/>
          <w:szCs w:val="22"/>
          <w:lang w:val="es-MX"/>
        </w:rPr>
        <w:t>ZELMANOVICH, Perla. Contra el desamparo (</w:t>
      </w:r>
      <w:r>
        <w:rPr>
          <w:rFonts w:ascii="Arial" w:hAnsi="Arial" w:cs="Arial"/>
          <w:sz w:val="22"/>
          <w:szCs w:val="22"/>
          <w:lang w:val="es-AR" w:eastAsia="es-AR"/>
        </w:rPr>
        <w:t xml:space="preserve">2003) Artículo publicado en Enseñar Hoy. Una introducción a la Educación en tiempos de crisis. Bs. As. Fondo de Cultura Económica. </w:t>
      </w:r>
    </w:p>
    <w:p w:rsidR="00B43012" w:rsidRDefault="00B43012" w:rsidP="00142A7B">
      <w:pPr>
        <w:autoSpaceDE w:val="0"/>
        <w:autoSpaceDN w:val="0"/>
        <w:adjustRightInd w:val="0"/>
        <w:spacing w:line="360" w:lineRule="auto"/>
        <w:ind w:left="720"/>
        <w:jc w:val="both"/>
        <w:rPr>
          <w:rFonts w:ascii="Arial" w:hAnsi="Arial" w:cs="Arial"/>
          <w:sz w:val="22"/>
          <w:szCs w:val="22"/>
          <w:lang w:val="es-AR" w:eastAsia="es-AR"/>
        </w:rPr>
      </w:pPr>
    </w:p>
    <w:p w:rsidR="00B43012" w:rsidRDefault="00B43012" w:rsidP="00142A7B">
      <w:pPr>
        <w:autoSpaceDE w:val="0"/>
        <w:autoSpaceDN w:val="0"/>
        <w:adjustRightInd w:val="0"/>
        <w:spacing w:line="360" w:lineRule="auto"/>
        <w:jc w:val="both"/>
        <w:rPr>
          <w:rFonts w:ascii="Arial" w:hAnsi="Arial" w:cs="Arial"/>
          <w:b/>
          <w:sz w:val="22"/>
          <w:szCs w:val="22"/>
          <w:lang w:val="es-AR" w:eastAsia="es-AR"/>
        </w:rPr>
      </w:pPr>
      <w:r>
        <w:rPr>
          <w:rFonts w:ascii="Arial" w:hAnsi="Arial" w:cs="Arial"/>
          <w:b/>
          <w:sz w:val="22"/>
          <w:szCs w:val="22"/>
          <w:lang w:val="es-AR" w:eastAsia="es-AR"/>
        </w:rPr>
        <w:t>Sugerida:</w:t>
      </w:r>
    </w:p>
    <w:p w:rsidR="00B43012" w:rsidRDefault="00B43012" w:rsidP="00142A7B">
      <w:pPr>
        <w:numPr>
          <w:ilvl w:val="0"/>
          <w:numId w:val="7"/>
        </w:numPr>
        <w:autoSpaceDE w:val="0"/>
        <w:autoSpaceDN w:val="0"/>
        <w:adjustRightInd w:val="0"/>
        <w:spacing w:line="360" w:lineRule="auto"/>
        <w:jc w:val="both"/>
        <w:rPr>
          <w:rFonts w:ascii="Arial" w:hAnsi="Arial" w:cs="Arial"/>
          <w:b/>
          <w:sz w:val="22"/>
          <w:szCs w:val="22"/>
          <w:lang w:val="es-AR" w:eastAsia="es-AR"/>
        </w:rPr>
      </w:pPr>
      <w:r>
        <w:rPr>
          <w:rFonts w:ascii="Arial" w:hAnsi="Arial" w:cs="Arial"/>
          <w:sz w:val="22"/>
          <w:szCs w:val="22"/>
          <w:lang w:val="es-AR" w:eastAsia="es-AR"/>
        </w:rPr>
        <w:t>ARIES, Philipp. El niño y la vida familiar en el Antiguo Régimen. s/f.</w:t>
      </w:r>
    </w:p>
    <w:p w:rsidR="00B43012" w:rsidRDefault="00B43012" w:rsidP="00142A7B">
      <w:pPr>
        <w:numPr>
          <w:ilvl w:val="0"/>
          <w:numId w:val="7"/>
        </w:numPr>
        <w:autoSpaceDE w:val="0"/>
        <w:autoSpaceDN w:val="0"/>
        <w:adjustRightInd w:val="0"/>
        <w:spacing w:line="360" w:lineRule="auto"/>
        <w:jc w:val="both"/>
        <w:rPr>
          <w:rFonts w:ascii="Arial" w:hAnsi="Arial" w:cs="Arial"/>
          <w:b/>
          <w:sz w:val="22"/>
          <w:szCs w:val="22"/>
          <w:lang w:val="es-AR" w:eastAsia="es-AR"/>
        </w:rPr>
      </w:pPr>
      <w:r>
        <w:rPr>
          <w:rFonts w:ascii="Arial" w:hAnsi="Arial" w:cs="Arial"/>
          <w:sz w:val="22"/>
          <w:szCs w:val="22"/>
          <w:lang w:val="es-AR" w:eastAsia="es-AR"/>
        </w:rPr>
        <w:t xml:space="preserve">BURT, Marta (1998). ¿Por qué debemos invertir en adolescentes? OPS Washington. </w:t>
      </w:r>
    </w:p>
    <w:p w:rsidR="00B43012" w:rsidRDefault="00B43012" w:rsidP="00142A7B">
      <w:pPr>
        <w:numPr>
          <w:ilvl w:val="0"/>
          <w:numId w:val="7"/>
        </w:numPr>
        <w:autoSpaceDE w:val="0"/>
        <w:autoSpaceDN w:val="0"/>
        <w:adjustRightInd w:val="0"/>
        <w:spacing w:line="360" w:lineRule="auto"/>
        <w:jc w:val="both"/>
        <w:rPr>
          <w:rFonts w:ascii="Arial" w:hAnsi="Arial" w:cs="Arial"/>
          <w:sz w:val="22"/>
          <w:szCs w:val="22"/>
          <w:lang w:val="es-AR" w:eastAsia="es-AR"/>
        </w:rPr>
      </w:pPr>
      <w:r>
        <w:rPr>
          <w:rFonts w:ascii="Arial" w:hAnsi="Arial" w:cs="Arial"/>
          <w:sz w:val="22"/>
          <w:szCs w:val="22"/>
          <w:lang w:val="es-AR" w:eastAsia="es-AR"/>
        </w:rPr>
        <w:t>NARDI, Estela (2003). Adolescencia y paternidad. UNER</w:t>
      </w:r>
    </w:p>
    <w:p w:rsidR="00B43012" w:rsidRDefault="00B43012" w:rsidP="00142A7B">
      <w:pPr>
        <w:autoSpaceDE w:val="0"/>
        <w:autoSpaceDN w:val="0"/>
        <w:adjustRightInd w:val="0"/>
        <w:spacing w:line="360" w:lineRule="auto"/>
        <w:jc w:val="both"/>
        <w:rPr>
          <w:rFonts w:ascii="Arial" w:hAnsi="Arial" w:cs="Arial"/>
          <w:b/>
          <w:sz w:val="22"/>
          <w:szCs w:val="22"/>
          <w:lang w:val="es-AR" w:eastAsia="es-AR"/>
        </w:rPr>
      </w:pPr>
    </w:p>
    <w:p w:rsidR="00B43012" w:rsidRDefault="00B43012" w:rsidP="00142A7B">
      <w:pPr>
        <w:autoSpaceDE w:val="0"/>
        <w:autoSpaceDN w:val="0"/>
        <w:adjustRightInd w:val="0"/>
        <w:spacing w:line="360" w:lineRule="auto"/>
        <w:jc w:val="both"/>
        <w:rPr>
          <w:rFonts w:ascii="Arial" w:hAnsi="Arial" w:cs="Arial"/>
          <w:b/>
          <w:sz w:val="22"/>
          <w:szCs w:val="22"/>
          <w:lang w:val="es-AR" w:eastAsia="es-AR"/>
        </w:rPr>
      </w:pPr>
      <w:r>
        <w:rPr>
          <w:rFonts w:ascii="Arial" w:hAnsi="Arial" w:cs="Arial"/>
          <w:b/>
          <w:sz w:val="22"/>
          <w:szCs w:val="22"/>
          <w:lang w:val="es-AR" w:eastAsia="es-AR"/>
        </w:rPr>
        <w:t>Bibliografía del Docente:</w:t>
      </w:r>
    </w:p>
    <w:p w:rsidR="00B43012" w:rsidRDefault="00B43012" w:rsidP="00142A7B">
      <w:pPr>
        <w:autoSpaceDE w:val="0"/>
        <w:autoSpaceDN w:val="0"/>
        <w:adjustRightInd w:val="0"/>
        <w:spacing w:line="360" w:lineRule="auto"/>
        <w:jc w:val="both"/>
        <w:rPr>
          <w:rFonts w:ascii="Arial" w:hAnsi="Arial" w:cs="Arial"/>
          <w:sz w:val="22"/>
          <w:szCs w:val="22"/>
          <w:lang w:val="es-AR" w:eastAsia="es-AR"/>
        </w:rPr>
      </w:pPr>
    </w:p>
    <w:p w:rsidR="00B43012" w:rsidRDefault="00B43012" w:rsidP="00142A7B">
      <w:pPr>
        <w:numPr>
          <w:ilvl w:val="0"/>
          <w:numId w:val="8"/>
        </w:numPr>
        <w:spacing w:line="360" w:lineRule="auto"/>
        <w:jc w:val="both"/>
        <w:rPr>
          <w:rFonts w:ascii="Arial" w:hAnsi="Arial" w:cs="Arial"/>
          <w:sz w:val="22"/>
          <w:szCs w:val="22"/>
          <w:lang w:val="es-AR"/>
        </w:rPr>
      </w:pPr>
      <w:r>
        <w:rPr>
          <w:rFonts w:ascii="Arial" w:hAnsi="Arial" w:cs="Arial"/>
          <w:sz w:val="22"/>
          <w:szCs w:val="22"/>
          <w:lang w:val="es-MX"/>
        </w:rPr>
        <w:t>ABERASTURY, A y KNOBEL, M (s/f) La adolescencia normal.</w:t>
      </w:r>
    </w:p>
    <w:p w:rsidR="00B43012" w:rsidRDefault="00B43012" w:rsidP="00142A7B">
      <w:pPr>
        <w:numPr>
          <w:ilvl w:val="0"/>
          <w:numId w:val="8"/>
        </w:numPr>
        <w:spacing w:line="360" w:lineRule="auto"/>
        <w:jc w:val="both"/>
        <w:rPr>
          <w:rFonts w:ascii="Arial" w:hAnsi="Arial" w:cs="Arial"/>
          <w:sz w:val="22"/>
          <w:szCs w:val="22"/>
          <w:lang w:val="es-AR"/>
        </w:rPr>
      </w:pPr>
      <w:r>
        <w:rPr>
          <w:rFonts w:ascii="Arial" w:hAnsi="Arial" w:cs="Arial"/>
          <w:sz w:val="22"/>
          <w:szCs w:val="22"/>
          <w:lang w:val="es-MX"/>
        </w:rPr>
        <w:t>AGENO, R y COLUSSI (1997) El sujeto de aprendizaje en la institución educativa. Rosario. Homo Sapiens.</w:t>
      </w:r>
    </w:p>
    <w:p w:rsidR="00B43012" w:rsidRDefault="00B43012" w:rsidP="00142A7B">
      <w:pPr>
        <w:numPr>
          <w:ilvl w:val="0"/>
          <w:numId w:val="6"/>
        </w:numPr>
        <w:spacing w:line="360" w:lineRule="auto"/>
        <w:jc w:val="both"/>
        <w:rPr>
          <w:rFonts w:ascii="Arial" w:hAnsi="Arial" w:cs="Arial"/>
          <w:sz w:val="22"/>
          <w:szCs w:val="22"/>
          <w:lang w:val="pt-BR"/>
        </w:rPr>
      </w:pPr>
      <w:r>
        <w:rPr>
          <w:rFonts w:ascii="Arial" w:hAnsi="Arial" w:cs="Arial"/>
          <w:sz w:val="22"/>
          <w:szCs w:val="22"/>
          <w:lang w:val="es-MX"/>
        </w:rPr>
        <w:t xml:space="preserve"> BIANCHI, Ariel (1986) Psicología de la Adolescencia. De sus conflictos y armonías. Bs. As. Ed. Troquel </w:t>
      </w:r>
    </w:p>
    <w:p w:rsidR="00B43012" w:rsidRDefault="00B43012" w:rsidP="00142A7B">
      <w:pPr>
        <w:numPr>
          <w:ilvl w:val="0"/>
          <w:numId w:val="6"/>
        </w:numPr>
        <w:spacing w:line="360" w:lineRule="auto"/>
        <w:jc w:val="both"/>
        <w:rPr>
          <w:rFonts w:ascii="Arial" w:hAnsi="Arial" w:cs="Arial"/>
          <w:sz w:val="22"/>
          <w:szCs w:val="22"/>
          <w:lang w:val="pt-BR"/>
        </w:rPr>
      </w:pPr>
      <w:r>
        <w:rPr>
          <w:rFonts w:ascii="Arial" w:hAnsi="Arial" w:cs="Arial"/>
          <w:sz w:val="22"/>
          <w:szCs w:val="22"/>
          <w:lang w:val="es-MX"/>
        </w:rPr>
        <w:t>BLEGER, j (1995) Psicología de la conducta. Paidós.</w:t>
      </w:r>
    </w:p>
    <w:p w:rsidR="00B43012" w:rsidRDefault="00B43012" w:rsidP="00142A7B">
      <w:pPr>
        <w:numPr>
          <w:ilvl w:val="0"/>
          <w:numId w:val="6"/>
        </w:numPr>
        <w:spacing w:line="360" w:lineRule="auto"/>
        <w:jc w:val="both"/>
        <w:rPr>
          <w:rFonts w:ascii="Arial" w:hAnsi="Arial" w:cs="Arial"/>
          <w:sz w:val="22"/>
          <w:szCs w:val="22"/>
          <w:lang w:val="pt-BR"/>
        </w:rPr>
      </w:pPr>
      <w:r>
        <w:rPr>
          <w:rFonts w:ascii="Arial" w:hAnsi="Arial" w:cs="Arial"/>
          <w:sz w:val="22"/>
          <w:szCs w:val="22"/>
          <w:lang w:val="es-MX"/>
        </w:rPr>
        <w:t>COLOMBO, María E. Reflexiones Epistemológicas para una Psicología General. En Curso de Ingreso Psicología UADER 2012.</w:t>
      </w:r>
    </w:p>
    <w:p w:rsidR="00B43012" w:rsidRDefault="00B43012" w:rsidP="00142A7B">
      <w:pPr>
        <w:numPr>
          <w:ilvl w:val="0"/>
          <w:numId w:val="6"/>
        </w:numPr>
        <w:spacing w:line="360" w:lineRule="auto"/>
        <w:jc w:val="both"/>
        <w:rPr>
          <w:rFonts w:ascii="Arial" w:hAnsi="Arial" w:cs="Arial"/>
          <w:sz w:val="22"/>
          <w:szCs w:val="22"/>
          <w:lang w:val="pt-BR"/>
        </w:rPr>
      </w:pPr>
      <w:r>
        <w:rPr>
          <w:rFonts w:ascii="Arial" w:hAnsi="Arial" w:cs="Arial"/>
          <w:sz w:val="22"/>
          <w:szCs w:val="22"/>
          <w:lang w:val="es-MX"/>
        </w:rPr>
        <w:t>GOLEMAN, Daniel (</w:t>
      </w:r>
      <w:r>
        <w:rPr>
          <w:rFonts w:ascii="Arial" w:hAnsi="Arial" w:cs="Arial"/>
          <w:sz w:val="22"/>
          <w:szCs w:val="22"/>
          <w:lang w:val="pt-BR"/>
        </w:rPr>
        <w:t xml:space="preserve">1996) </w:t>
      </w:r>
      <w:r>
        <w:rPr>
          <w:rFonts w:ascii="Arial" w:hAnsi="Arial" w:cs="Arial"/>
          <w:bCs/>
          <w:iCs/>
          <w:sz w:val="22"/>
          <w:szCs w:val="22"/>
          <w:lang w:val="es-MX"/>
        </w:rPr>
        <w:t>La inteligencia emocional</w:t>
      </w:r>
      <w:r>
        <w:rPr>
          <w:rFonts w:ascii="Arial" w:hAnsi="Arial" w:cs="Arial"/>
          <w:sz w:val="22"/>
          <w:szCs w:val="22"/>
          <w:lang w:val="es-MX"/>
        </w:rPr>
        <w:t xml:space="preserve">. </w:t>
      </w:r>
      <w:r>
        <w:rPr>
          <w:rFonts w:ascii="Arial" w:hAnsi="Arial" w:cs="Arial"/>
          <w:sz w:val="22"/>
          <w:szCs w:val="22"/>
          <w:lang w:val="pt-BR"/>
        </w:rPr>
        <w:t>Bs. As. J. Vergara Editor.</w:t>
      </w:r>
    </w:p>
    <w:p w:rsidR="00B43012" w:rsidRDefault="00B43012" w:rsidP="00142A7B">
      <w:pPr>
        <w:numPr>
          <w:ilvl w:val="0"/>
          <w:numId w:val="6"/>
        </w:numPr>
        <w:spacing w:line="360" w:lineRule="auto"/>
        <w:jc w:val="both"/>
        <w:rPr>
          <w:rFonts w:ascii="Arial" w:hAnsi="Arial" w:cs="Arial"/>
          <w:sz w:val="22"/>
          <w:szCs w:val="22"/>
          <w:lang w:val="pt-BR"/>
        </w:rPr>
      </w:pPr>
      <w:r>
        <w:rPr>
          <w:rFonts w:ascii="Arial" w:hAnsi="Arial" w:cs="Arial"/>
          <w:sz w:val="22"/>
          <w:szCs w:val="22"/>
          <w:lang w:val="pt-BR"/>
        </w:rPr>
        <w:t>FREUD, S. Obras Completas. Amorrortu editores.</w:t>
      </w:r>
    </w:p>
    <w:p w:rsidR="00B43012" w:rsidRDefault="00B43012" w:rsidP="00142A7B">
      <w:pPr>
        <w:numPr>
          <w:ilvl w:val="0"/>
          <w:numId w:val="8"/>
        </w:numPr>
        <w:spacing w:line="360" w:lineRule="auto"/>
        <w:jc w:val="both"/>
        <w:rPr>
          <w:rFonts w:ascii="Arial" w:hAnsi="Arial" w:cs="Arial"/>
          <w:sz w:val="22"/>
          <w:szCs w:val="22"/>
          <w:lang w:val="pt-BR"/>
        </w:rPr>
      </w:pPr>
      <w:r>
        <w:rPr>
          <w:rFonts w:ascii="Arial" w:hAnsi="Arial" w:cs="Arial"/>
          <w:sz w:val="22"/>
          <w:szCs w:val="22"/>
          <w:lang w:val="es-AR"/>
        </w:rPr>
        <w:t>MARCELLI, BRACONNIER, AJURIAGUERRA (s/f) Manual de Psicopatología.</w:t>
      </w:r>
    </w:p>
    <w:p w:rsidR="00B43012" w:rsidRDefault="00B43012" w:rsidP="00142A7B">
      <w:pPr>
        <w:spacing w:line="360" w:lineRule="auto"/>
        <w:ind w:left="720"/>
        <w:jc w:val="both"/>
        <w:rPr>
          <w:rFonts w:ascii="Arial" w:hAnsi="Arial" w:cs="Arial"/>
          <w:sz w:val="22"/>
          <w:szCs w:val="22"/>
          <w:lang w:val="es-AR"/>
        </w:rPr>
      </w:pPr>
    </w:p>
    <w:p w:rsidR="00B43012" w:rsidRDefault="00B43012" w:rsidP="00142A7B">
      <w:pPr>
        <w:spacing w:line="360" w:lineRule="auto"/>
        <w:jc w:val="both"/>
        <w:rPr>
          <w:rFonts w:ascii="Arial" w:hAnsi="Arial" w:cs="Arial"/>
          <w:sz w:val="22"/>
          <w:szCs w:val="22"/>
          <w:lang w:val="es-MX"/>
        </w:rPr>
      </w:pPr>
    </w:p>
    <w:p w:rsidR="00B43012" w:rsidRDefault="00B43012" w:rsidP="00142A7B">
      <w:pPr>
        <w:spacing w:line="360" w:lineRule="auto"/>
        <w:jc w:val="both"/>
        <w:rPr>
          <w:rFonts w:ascii="Arial" w:hAnsi="Arial" w:cs="Arial"/>
          <w:sz w:val="22"/>
          <w:szCs w:val="22"/>
          <w:lang w:val="es-MX"/>
        </w:rPr>
      </w:pPr>
    </w:p>
    <w:p w:rsidR="00B43012" w:rsidRDefault="00B43012" w:rsidP="00142A7B">
      <w:pPr>
        <w:spacing w:line="360" w:lineRule="auto"/>
        <w:jc w:val="both"/>
        <w:rPr>
          <w:rFonts w:ascii="Arial" w:hAnsi="Arial" w:cs="Arial"/>
          <w:sz w:val="22"/>
          <w:szCs w:val="22"/>
        </w:rPr>
      </w:pPr>
      <w:r>
        <w:rPr>
          <w:rFonts w:ascii="Arial" w:hAnsi="Arial" w:cs="Arial"/>
          <w:sz w:val="22"/>
          <w:szCs w:val="22"/>
        </w:rPr>
        <w:t>(*) Curso de Postgrado Psicoanálisis y prácticas socioeducativas. FLACSO (2009).</w:t>
      </w:r>
    </w:p>
    <w:p w:rsidR="00B43012" w:rsidRDefault="00B43012"/>
    <w:sectPr w:rsidR="00B43012" w:rsidSect="0080173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15BCC"/>
    <w:multiLevelType w:val="hybridMultilevel"/>
    <w:tmpl w:val="FA88BC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41272610"/>
    <w:multiLevelType w:val="hybridMultilevel"/>
    <w:tmpl w:val="E20A57E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498D6D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570106A3"/>
    <w:multiLevelType w:val="hybridMultilevel"/>
    <w:tmpl w:val="7396C7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5C9634B2"/>
    <w:multiLevelType w:val="hybridMultilevel"/>
    <w:tmpl w:val="965A63B6"/>
    <w:lvl w:ilvl="0" w:tplc="2C0A0001">
      <w:start w:val="1"/>
      <w:numFmt w:val="bullet"/>
      <w:lvlText w:val=""/>
      <w:lvlJc w:val="left"/>
      <w:pPr>
        <w:ind w:left="783" w:hanging="360"/>
      </w:pPr>
      <w:rPr>
        <w:rFonts w:ascii="Symbol" w:hAnsi="Symbol" w:hint="default"/>
      </w:rPr>
    </w:lvl>
    <w:lvl w:ilvl="1" w:tplc="2C0A0003">
      <w:start w:val="1"/>
      <w:numFmt w:val="bullet"/>
      <w:lvlText w:val="o"/>
      <w:lvlJc w:val="left"/>
      <w:pPr>
        <w:ind w:left="1503" w:hanging="360"/>
      </w:pPr>
      <w:rPr>
        <w:rFonts w:ascii="Courier New" w:hAnsi="Courier New" w:hint="default"/>
      </w:rPr>
    </w:lvl>
    <w:lvl w:ilvl="2" w:tplc="2C0A0005">
      <w:start w:val="1"/>
      <w:numFmt w:val="bullet"/>
      <w:lvlText w:val=""/>
      <w:lvlJc w:val="left"/>
      <w:pPr>
        <w:ind w:left="2223" w:hanging="360"/>
      </w:pPr>
      <w:rPr>
        <w:rFonts w:ascii="Wingdings" w:hAnsi="Wingdings" w:hint="default"/>
      </w:rPr>
    </w:lvl>
    <w:lvl w:ilvl="3" w:tplc="2C0A0001">
      <w:start w:val="1"/>
      <w:numFmt w:val="bullet"/>
      <w:lvlText w:val=""/>
      <w:lvlJc w:val="left"/>
      <w:pPr>
        <w:ind w:left="2943" w:hanging="360"/>
      </w:pPr>
      <w:rPr>
        <w:rFonts w:ascii="Symbol" w:hAnsi="Symbol" w:hint="default"/>
      </w:rPr>
    </w:lvl>
    <w:lvl w:ilvl="4" w:tplc="2C0A0003">
      <w:start w:val="1"/>
      <w:numFmt w:val="bullet"/>
      <w:lvlText w:val="o"/>
      <w:lvlJc w:val="left"/>
      <w:pPr>
        <w:ind w:left="3663" w:hanging="360"/>
      </w:pPr>
      <w:rPr>
        <w:rFonts w:ascii="Courier New" w:hAnsi="Courier New" w:hint="default"/>
      </w:rPr>
    </w:lvl>
    <w:lvl w:ilvl="5" w:tplc="2C0A0005">
      <w:start w:val="1"/>
      <w:numFmt w:val="bullet"/>
      <w:lvlText w:val=""/>
      <w:lvlJc w:val="left"/>
      <w:pPr>
        <w:ind w:left="4383" w:hanging="360"/>
      </w:pPr>
      <w:rPr>
        <w:rFonts w:ascii="Wingdings" w:hAnsi="Wingdings" w:hint="default"/>
      </w:rPr>
    </w:lvl>
    <w:lvl w:ilvl="6" w:tplc="2C0A0001">
      <w:start w:val="1"/>
      <w:numFmt w:val="bullet"/>
      <w:lvlText w:val=""/>
      <w:lvlJc w:val="left"/>
      <w:pPr>
        <w:ind w:left="5103" w:hanging="360"/>
      </w:pPr>
      <w:rPr>
        <w:rFonts w:ascii="Symbol" w:hAnsi="Symbol" w:hint="default"/>
      </w:rPr>
    </w:lvl>
    <w:lvl w:ilvl="7" w:tplc="2C0A0003">
      <w:start w:val="1"/>
      <w:numFmt w:val="bullet"/>
      <w:lvlText w:val="o"/>
      <w:lvlJc w:val="left"/>
      <w:pPr>
        <w:ind w:left="5823" w:hanging="360"/>
      </w:pPr>
      <w:rPr>
        <w:rFonts w:ascii="Courier New" w:hAnsi="Courier New" w:hint="default"/>
      </w:rPr>
    </w:lvl>
    <w:lvl w:ilvl="8" w:tplc="2C0A0005">
      <w:start w:val="1"/>
      <w:numFmt w:val="bullet"/>
      <w:lvlText w:val=""/>
      <w:lvlJc w:val="left"/>
      <w:pPr>
        <w:ind w:left="6543" w:hanging="360"/>
      </w:pPr>
      <w:rPr>
        <w:rFonts w:ascii="Wingdings" w:hAnsi="Wingdings" w:hint="default"/>
      </w:rPr>
    </w:lvl>
  </w:abstractNum>
  <w:abstractNum w:abstractNumId="5">
    <w:nsid w:val="63592673"/>
    <w:multiLevelType w:val="hybridMultilevel"/>
    <w:tmpl w:val="AB94CB6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7946530E"/>
    <w:multiLevelType w:val="hybridMultilevel"/>
    <w:tmpl w:val="0534F9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7A9B5B4C"/>
    <w:multiLevelType w:val="hybridMultilevel"/>
    <w:tmpl w:val="6F50CA6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3F8"/>
    <w:rsid w:val="000760A4"/>
    <w:rsid w:val="00102A18"/>
    <w:rsid w:val="00142A7B"/>
    <w:rsid w:val="002B1C6A"/>
    <w:rsid w:val="00644984"/>
    <w:rsid w:val="00734A66"/>
    <w:rsid w:val="00801737"/>
    <w:rsid w:val="009D53F8"/>
    <w:rsid w:val="00B4301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7B"/>
    <w:rPr>
      <w:rFonts w:ascii="Times New Roman" w:eastAsia="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42A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56805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irtual.flacso.org.ar/mod/book/view.php?id=33870&amp;chapterid=466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1117</Words>
  <Characters>6146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Normal Superior N° 15 “Domingo F</dc:title>
  <dc:subject/>
  <dc:creator>Laurita</dc:creator>
  <cp:keywords/>
  <dc:description/>
  <cp:lastModifiedBy>Usuario</cp:lastModifiedBy>
  <cp:revision>2</cp:revision>
  <dcterms:created xsi:type="dcterms:W3CDTF">2013-07-01T23:47:00Z</dcterms:created>
  <dcterms:modified xsi:type="dcterms:W3CDTF">2013-07-01T23:47:00Z</dcterms:modified>
</cp:coreProperties>
</file>